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20" w:rsidRDefault="00BB5D20">
      <w:r>
        <w:rPr>
          <w:noProof/>
        </w:rPr>
        <w:drawing>
          <wp:inline distT="0" distB="0" distL="0" distR="0">
            <wp:extent cx="1463040" cy="713232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DA_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9BD" w:rsidRPr="00B839BD" w:rsidRDefault="00B839BD" w:rsidP="00B839BD">
      <w:pPr>
        <w:pStyle w:val="NoSpacing"/>
      </w:pPr>
      <w:r>
        <w:tab/>
      </w:r>
      <w:bookmarkStart w:id="0" w:name="_GoBack"/>
      <w:bookmarkEnd w:id="0"/>
    </w:p>
    <w:tbl>
      <w:tblPr>
        <w:tblStyle w:val="TableGrid"/>
        <w:tblW w:w="10935" w:type="dxa"/>
        <w:tblInd w:w="-702" w:type="dxa"/>
        <w:tblLook w:val="04A0" w:firstRow="1" w:lastRow="0" w:firstColumn="1" w:lastColumn="0" w:noHBand="0" w:noVBand="1"/>
      </w:tblPr>
      <w:tblGrid>
        <w:gridCol w:w="5580"/>
        <w:gridCol w:w="5355"/>
      </w:tblGrid>
      <w:tr w:rsidR="00BB5D20" w:rsidTr="00B839BD">
        <w:trPr>
          <w:trHeight w:val="357"/>
        </w:trPr>
        <w:tc>
          <w:tcPr>
            <w:tcW w:w="5580" w:type="dxa"/>
          </w:tcPr>
          <w:p w:rsidR="00BB5D20" w:rsidRDefault="00BB5D20">
            <w:r>
              <w:t>Guiding Principles of Language Development</w:t>
            </w:r>
          </w:p>
        </w:tc>
        <w:tc>
          <w:tcPr>
            <w:tcW w:w="5355" w:type="dxa"/>
          </w:tcPr>
          <w:p w:rsidR="00BB5D20" w:rsidRDefault="00BB5D20">
            <w:r>
              <w:t>How might this look in the classroom? Be specific.</w:t>
            </w:r>
          </w:p>
        </w:tc>
      </w:tr>
      <w:tr w:rsidR="00BB5D20" w:rsidTr="00B839BD">
        <w:trPr>
          <w:trHeight w:val="1133"/>
        </w:trPr>
        <w:tc>
          <w:tcPr>
            <w:tcW w:w="5580" w:type="dxa"/>
          </w:tcPr>
          <w:p w:rsidR="00BB5D20" w:rsidRDefault="00BB5D20">
            <w:r>
              <w:t>Students’ languages and cultures are valuable resources to be tapped and incorporated into schooling.</w:t>
            </w:r>
          </w:p>
        </w:tc>
        <w:tc>
          <w:tcPr>
            <w:tcW w:w="5355" w:type="dxa"/>
          </w:tcPr>
          <w:p w:rsidR="00BB5D20" w:rsidRDefault="00BB5D20"/>
        </w:tc>
      </w:tr>
      <w:tr w:rsidR="00BB5D20" w:rsidTr="00B839BD">
        <w:trPr>
          <w:trHeight w:val="1113"/>
        </w:trPr>
        <w:tc>
          <w:tcPr>
            <w:tcW w:w="5580" w:type="dxa"/>
          </w:tcPr>
          <w:p w:rsidR="00BB5D20" w:rsidRDefault="00BB5D20">
            <w:r>
              <w:t>Students’ home, school, and community experiences influence their language development.</w:t>
            </w:r>
          </w:p>
        </w:tc>
        <w:tc>
          <w:tcPr>
            <w:tcW w:w="5355" w:type="dxa"/>
          </w:tcPr>
          <w:p w:rsidR="00BB5D20" w:rsidRDefault="00BB5D20"/>
        </w:tc>
      </w:tr>
      <w:tr w:rsidR="00BB5D20" w:rsidTr="00B839BD">
        <w:trPr>
          <w:trHeight w:val="1133"/>
        </w:trPr>
        <w:tc>
          <w:tcPr>
            <w:tcW w:w="5580" w:type="dxa"/>
          </w:tcPr>
          <w:p w:rsidR="00BB5D20" w:rsidRDefault="00BB5D20">
            <w:r>
              <w:t xml:space="preserve">Students draw on their metacognitive </w:t>
            </w:r>
            <w:proofErr w:type="gramStart"/>
            <w:r>
              <w:t>metalinguistic,</w:t>
            </w:r>
            <w:proofErr w:type="gramEnd"/>
            <w:r>
              <w:t xml:space="preserve"> and </w:t>
            </w:r>
            <w:proofErr w:type="spellStart"/>
            <w:r>
              <w:t>metacultural</w:t>
            </w:r>
            <w:proofErr w:type="spellEnd"/>
            <w:r>
              <w:t xml:space="preserve"> awareness to develop proficiency in additional languages.</w:t>
            </w:r>
          </w:p>
        </w:tc>
        <w:tc>
          <w:tcPr>
            <w:tcW w:w="5355" w:type="dxa"/>
          </w:tcPr>
          <w:p w:rsidR="00BB5D20" w:rsidRDefault="00BB5D20"/>
        </w:tc>
      </w:tr>
      <w:tr w:rsidR="00BB5D20" w:rsidTr="00B839BD">
        <w:trPr>
          <w:trHeight w:val="1502"/>
        </w:trPr>
        <w:tc>
          <w:tcPr>
            <w:tcW w:w="5580" w:type="dxa"/>
          </w:tcPr>
          <w:p w:rsidR="00BB5D20" w:rsidRDefault="00BB5D20">
            <w:r>
              <w:t>Students’ academic language development in their native language facilitates their academic language development in English. Conversely, students’ academic language development in English informs their academic language development in their native language.</w:t>
            </w:r>
          </w:p>
        </w:tc>
        <w:tc>
          <w:tcPr>
            <w:tcW w:w="5355" w:type="dxa"/>
          </w:tcPr>
          <w:p w:rsidR="00BB5D20" w:rsidRDefault="00BB5D20"/>
        </w:tc>
      </w:tr>
      <w:tr w:rsidR="00BB5D20" w:rsidTr="00B839BD">
        <w:trPr>
          <w:trHeight w:val="1111"/>
        </w:trPr>
        <w:tc>
          <w:tcPr>
            <w:tcW w:w="5580" w:type="dxa"/>
          </w:tcPr>
          <w:p w:rsidR="00BB5D20" w:rsidRDefault="00BB5D20">
            <w:r>
              <w:t>Students learn language and culture through meaningful use and interaction.</w:t>
            </w:r>
          </w:p>
        </w:tc>
        <w:tc>
          <w:tcPr>
            <w:tcW w:w="5355" w:type="dxa"/>
          </w:tcPr>
          <w:p w:rsidR="00BB5D20" w:rsidRDefault="00BB5D20"/>
        </w:tc>
      </w:tr>
      <w:tr w:rsidR="00BB5D20" w:rsidTr="00B839BD">
        <w:trPr>
          <w:trHeight w:val="1113"/>
        </w:trPr>
        <w:tc>
          <w:tcPr>
            <w:tcW w:w="5580" w:type="dxa"/>
          </w:tcPr>
          <w:p w:rsidR="00BB5D20" w:rsidRDefault="00BB5D20">
            <w:r>
              <w:t>Students use language in functional and communicative ways that vary according to context.</w:t>
            </w:r>
          </w:p>
        </w:tc>
        <w:tc>
          <w:tcPr>
            <w:tcW w:w="5355" w:type="dxa"/>
          </w:tcPr>
          <w:p w:rsidR="00BB5D20" w:rsidRDefault="00BB5D20"/>
        </w:tc>
      </w:tr>
      <w:tr w:rsidR="00BB5D20" w:rsidTr="00B839BD">
        <w:trPr>
          <w:trHeight w:val="1133"/>
        </w:trPr>
        <w:tc>
          <w:tcPr>
            <w:tcW w:w="5580" w:type="dxa"/>
          </w:tcPr>
          <w:p w:rsidR="00BB5D20" w:rsidRDefault="00BB5D20">
            <w:r>
              <w:t>Students develop language proficiency in listening, speaking, reading, writing interdependently, but at different rates and in different ways.</w:t>
            </w:r>
          </w:p>
        </w:tc>
        <w:tc>
          <w:tcPr>
            <w:tcW w:w="5355" w:type="dxa"/>
          </w:tcPr>
          <w:p w:rsidR="00BB5D20" w:rsidRDefault="00BB5D20"/>
        </w:tc>
      </w:tr>
      <w:tr w:rsidR="00BB5D20" w:rsidTr="00B839BD">
        <w:trPr>
          <w:trHeight w:val="1113"/>
        </w:trPr>
        <w:tc>
          <w:tcPr>
            <w:tcW w:w="5580" w:type="dxa"/>
          </w:tcPr>
          <w:p w:rsidR="00BB5D20" w:rsidRDefault="00BB5D20">
            <w:r>
              <w:t>Students’ development of academic language and academic content knowledge are inter-related processes.</w:t>
            </w:r>
          </w:p>
        </w:tc>
        <w:tc>
          <w:tcPr>
            <w:tcW w:w="5355" w:type="dxa"/>
          </w:tcPr>
          <w:p w:rsidR="00BB5D20" w:rsidRDefault="00BB5D20"/>
        </w:tc>
      </w:tr>
      <w:tr w:rsidR="00BB5D20" w:rsidTr="00B839BD">
        <w:trPr>
          <w:trHeight w:val="1133"/>
        </w:trPr>
        <w:tc>
          <w:tcPr>
            <w:tcW w:w="5580" w:type="dxa"/>
          </w:tcPr>
          <w:p w:rsidR="00BB5D20" w:rsidRDefault="00BB5D20">
            <w:r>
              <w:t>Students’ development of social, instructional and academic language, a long-term process, is the foundation for their success in school.</w:t>
            </w:r>
          </w:p>
        </w:tc>
        <w:tc>
          <w:tcPr>
            <w:tcW w:w="5355" w:type="dxa"/>
          </w:tcPr>
          <w:p w:rsidR="00BB5D20" w:rsidRDefault="00BB5D20"/>
        </w:tc>
      </w:tr>
      <w:tr w:rsidR="00BB5D20" w:rsidTr="00B839BD">
        <w:trPr>
          <w:trHeight w:val="1511"/>
        </w:trPr>
        <w:tc>
          <w:tcPr>
            <w:tcW w:w="5580" w:type="dxa"/>
          </w:tcPr>
          <w:p w:rsidR="00BB5D20" w:rsidRDefault="00BB5D20">
            <w:r>
              <w:t>Students’ access to instructional tasks requiring complex thinking is enhanced when linguistic complexity and instructional support match their levels of language proficiency.</w:t>
            </w:r>
          </w:p>
        </w:tc>
        <w:tc>
          <w:tcPr>
            <w:tcW w:w="5355" w:type="dxa"/>
          </w:tcPr>
          <w:p w:rsidR="00BB5D20" w:rsidRDefault="00BB5D20"/>
        </w:tc>
      </w:tr>
    </w:tbl>
    <w:p w:rsidR="00BB5D20" w:rsidRDefault="00BB5D20"/>
    <w:sectPr w:rsidR="00BB5D20" w:rsidSect="00B839BD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20"/>
    <w:rsid w:val="008B48AD"/>
    <w:rsid w:val="00AD0DA4"/>
    <w:rsid w:val="00B839BD"/>
    <w:rsid w:val="00BB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D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5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839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D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5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839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Kohan, Jen [MN]</dc:creator>
  <cp:lastModifiedBy>Kohan, Jen [MN]</cp:lastModifiedBy>
  <cp:revision>1</cp:revision>
  <dcterms:created xsi:type="dcterms:W3CDTF">2015-08-26T21:56:00Z</dcterms:created>
  <dcterms:modified xsi:type="dcterms:W3CDTF">2015-08-26T22:10:00Z</dcterms:modified>
</cp:coreProperties>
</file>